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3611"/>
      </w:tblGrid>
      <w:tr w:rsidR="002446B5" w:rsidRPr="002446B5" w:rsidTr="002446B5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2446B5" w:rsidRPr="002446B5" w:rsidRDefault="002446B5" w:rsidP="002446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446B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Первому заместителю Министра общего и профессионального образования Свердловской области</w:t>
            </w:r>
          </w:p>
          <w:p w:rsidR="002446B5" w:rsidRPr="002446B5" w:rsidRDefault="002446B5" w:rsidP="002446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2446B5" w:rsidRPr="002446B5" w:rsidRDefault="002446B5" w:rsidP="002446B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446B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А.А. Пахомову</w:t>
            </w:r>
          </w:p>
        </w:tc>
      </w:tr>
    </w:tbl>
    <w:p w:rsidR="00351B46" w:rsidRPr="00351B46" w:rsidRDefault="00351B46" w:rsidP="00351B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51B46" w:rsidRPr="00351B46" w:rsidRDefault="00351B46" w:rsidP="00351B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51B46" w:rsidRPr="002446B5" w:rsidRDefault="00351B46" w:rsidP="00351B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6319" wp14:editId="184F8DC0">
                <wp:simplePos x="0" y="0"/>
                <wp:positionH relativeFrom="column">
                  <wp:posOffset>114300</wp:posOffset>
                </wp:positionH>
                <wp:positionV relativeFrom="paragraph">
                  <wp:posOffset>-321310</wp:posOffset>
                </wp:positionV>
                <wp:extent cx="2628900" cy="2737485"/>
                <wp:effectExtent l="13335" t="571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городского округа Верхняя Пышма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Муниципальное 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</w:rPr>
                              <w:t>казенное учреждение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«Управление образования городского округа Верхняя Пышма»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</w:rPr>
                              <w:t>(МКУ «УО ГО Верхняя Пышма»)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Красноармейская ул., д.13,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г. Верхняя Пышма, 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Свердловская область, 624091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тел. (34368) 5-41-73, факс(34368) 5-40-86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A10840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vpeducation</w:t>
                              </w:r>
                              <w:r w:rsidRPr="00A10840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A10840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A10840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A10840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ОКПО 02116037, ОГРН 1026600730474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ИНН/КПП 6606005456/660601001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 № ______________</w:t>
                            </w:r>
                          </w:p>
                          <w:p w:rsidR="00351B46" w:rsidRPr="00A10840" w:rsidRDefault="00351B46" w:rsidP="00351B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08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  № _____________ от______________</w:t>
                            </w:r>
                          </w:p>
                          <w:p w:rsidR="00351B46" w:rsidRPr="000E6E9B" w:rsidRDefault="00351B46" w:rsidP="00351B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pt;margin-top:-25.3pt;width:207pt;height:2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" strokecolor="white">
                <v:textbox>
                  <w:txbxContent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</w:rPr>
                        <w:t xml:space="preserve"> городского округа Верхняя Пышма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Муниципальное 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</w:rPr>
                        <w:t>казенное учреждение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</w:rPr>
                        <w:t xml:space="preserve"> «Управление образования городского округа Верхняя Пышма»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</w:rPr>
                        <w:t>(МКУ «УО ГО Верхняя Пышма»)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Красноармейская ул., д.13,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г. Верхняя Пышма, 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Свердловская область, 624091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тел. (34368) 5-41-73, факс(34368) 5-40-86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</w:t>
                      </w: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6" w:history="1">
                        <w:r w:rsidRPr="00A10840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vpeducation</w:t>
                        </w:r>
                        <w:r w:rsidRPr="00A10840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@</w:t>
                        </w:r>
                        <w:r w:rsidRPr="00A10840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A10840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A10840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ОКПО 02116037, ОГРН 1026600730474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ИНН/КПП 6606005456/660601001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 № ______________</w:t>
                      </w:r>
                    </w:p>
                    <w:p w:rsidR="00351B46" w:rsidRPr="00A10840" w:rsidRDefault="00351B46" w:rsidP="00351B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08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  № _____________ от______________</w:t>
                      </w:r>
                    </w:p>
                    <w:p w:rsidR="00351B46" w:rsidRPr="000E6E9B" w:rsidRDefault="00351B46" w:rsidP="00351B46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51B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</w:t>
      </w:r>
    </w:p>
    <w:p w:rsidR="00351B46" w:rsidRPr="00351B46" w:rsidRDefault="00351B46" w:rsidP="00351B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51B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351B46" w:rsidRPr="00351B46" w:rsidRDefault="00351B46" w:rsidP="00351B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51B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</w:t>
      </w:r>
    </w:p>
    <w:p w:rsidR="00351B46" w:rsidRPr="00351B46" w:rsidRDefault="00351B46" w:rsidP="00351B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51B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</w:t>
      </w:r>
    </w:p>
    <w:p w:rsidR="00351B46" w:rsidRPr="00351B46" w:rsidRDefault="00351B46" w:rsidP="00351B46">
      <w:pPr>
        <w:rPr>
          <w:rFonts w:ascii="Calibri" w:eastAsia="Times New Roman" w:hAnsi="Calibri" w:cs="Times New Roman"/>
          <w:lang w:eastAsia="ru-RU"/>
        </w:rPr>
      </w:pPr>
    </w:p>
    <w:p w:rsidR="00351B46" w:rsidRPr="00351B46" w:rsidRDefault="00351B46" w:rsidP="00351B46">
      <w:pPr>
        <w:rPr>
          <w:rFonts w:ascii="Calibri" w:eastAsia="Times New Roman" w:hAnsi="Calibri" w:cs="Times New Roman"/>
          <w:lang w:eastAsia="ru-RU"/>
        </w:rPr>
      </w:pPr>
    </w:p>
    <w:p w:rsidR="00351B46" w:rsidRPr="00351B46" w:rsidRDefault="00351B46" w:rsidP="00351B46">
      <w:pPr>
        <w:tabs>
          <w:tab w:val="left" w:pos="1316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51B4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</w:p>
    <w:p w:rsidR="00351B46" w:rsidRPr="00351B46" w:rsidRDefault="00351B46" w:rsidP="00351B46">
      <w:pPr>
        <w:tabs>
          <w:tab w:val="left" w:pos="1316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51B46" w:rsidRPr="00351B46" w:rsidRDefault="00351B46" w:rsidP="00351B46">
      <w:pPr>
        <w:tabs>
          <w:tab w:val="left" w:pos="13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46" w:rsidRPr="00351B46" w:rsidRDefault="00351B46" w:rsidP="00351B46">
      <w:pPr>
        <w:tabs>
          <w:tab w:val="left" w:pos="131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46" w:rsidRPr="00351B46" w:rsidRDefault="00351B46" w:rsidP="00351B46">
      <w:pPr>
        <w:tabs>
          <w:tab w:val="left" w:pos="131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46" w:rsidRPr="00351B46" w:rsidRDefault="00351B46" w:rsidP="00351B46">
      <w:pPr>
        <w:tabs>
          <w:tab w:val="left" w:pos="131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Алексей Александрович</w:t>
      </w:r>
      <w:r w:rsidRPr="00351B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E7D4C" w:rsidRDefault="00351B46" w:rsidP="002446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письмо от 07.09.2015 г. № 02-01-82/7397 направляем Вам отчет о проведении месячника безопасности в образовательных организациях городского округа Верхняя Пышма:</w:t>
      </w:r>
    </w:p>
    <w:p w:rsidR="00351B46" w:rsidRDefault="00351B46" w:rsidP="00351B46">
      <w:pPr>
        <w:rPr>
          <w:rFonts w:ascii="Times New Roman" w:hAnsi="Times New Roman" w:cs="Times New Roman"/>
          <w:sz w:val="28"/>
          <w:szCs w:val="28"/>
        </w:rPr>
      </w:pPr>
    </w:p>
    <w:p w:rsidR="00351B46" w:rsidRDefault="00351B46" w:rsidP="00351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</w:t>
      </w:r>
      <w:r w:rsidR="002446B5" w:rsidRPr="002446B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351B46" w:rsidRDefault="00351B46" w:rsidP="00351B46">
      <w:pPr>
        <w:rPr>
          <w:rFonts w:ascii="Times New Roman" w:hAnsi="Times New Roman" w:cs="Times New Roman"/>
          <w:sz w:val="28"/>
          <w:szCs w:val="28"/>
        </w:rPr>
      </w:pPr>
    </w:p>
    <w:p w:rsidR="00351B46" w:rsidRPr="00442E48" w:rsidRDefault="00351B46" w:rsidP="00351B46">
      <w:pPr>
        <w:tabs>
          <w:tab w:val="left" w:pos="13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                                                                         Т.В. </w:t>
      </w:r>
      <w:proofErr w:type="spellStart"/>
      <w:r w:rsidRPr="00442E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Лобырина</w:t>
      </w:r>
      <w:proofErr w:type="spellEnd"/>
    </w:p>
    <w:p w:rsidR="00351B46" w:rsidRPr="00442E48" w:rsidRDefault="00351B46" w:rsidP="00351B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46" w:rsidRPr="00442E48" w:rsidRDefault="00351B46" w:rsidP="00351B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1B46" w:rsidRPr="00442E48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B6F14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Лесун</w:t>
      </w:r>
      <w:proofErr w:type="spellEnd"/>
      <w:r w:rsidRPr="00FB6F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42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Н.Р.  </w:t>
      </w:r>
    </w:p>
    <w:p w:rsidR="00351B46" w:rsidRPr="00FB6F14" w:rsidRDefault="00351B46" w:rsidP="00351B4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2E4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 5-89-80</w:t>
      </w:r>
    </w:p>
    <w:p w:rsidR="00351B46" w:rsidRDefault="00351B46" w:rsidP="00351B46">
      <w:pPr>
        <w:rPr>
          <w:rFonts w:ascii="Times New Roman" w:hAnsi="Times New Roman" w:cs="Times New Roman"/>
          <w:sz w:val="28"/>
          <w:szCs w:val="28"/>
        </w:rPr>
        <w:sectPr w:rsidR="00351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85D" w:rsidRDefault="00F7185D" w:rsidP="00351B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1B46" w:rsidRDefault="00351B46" w:rsidP="00351B4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B46">
        <w:rPr>
          <w:rFonts w:ascii="Times New Roman" w:hAnsi="Times New Roman" w:cs="Times New Roman"/>
          <w:b/>
          <w:sz w:val="24"/>
          <w:szCs w:val="28"/>
        </w:rPr>
        <w:t>Отчет о проведении месячника безопасности в образовательных организациях городского округа Верхняя Пышма</w:t>
      </w:r>
    </w:p>
    <w:p w:rsidR="00F7185D" w:rsidRDefault="00F7185D" w:rsidP="00351B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1951"/>
        <w:gridCol w:w="2552"/>
        <w:gridCol w:w="2693"/>
        <w:gridCol w:w="2693"/>
        <w:gridCol w:w="2550"/>
        <w:gridCol w:w="2553"/>
      </w:tblGrid>
      <w:tr w:rsidR="00990843" w:rsidRPr="00351B46" w:rsidTr="00990843">
        <w:tc>
          <w:tcPr>
            <w:tcW w:w="1951" w:type="dxa"/>
          </w:tcPr>
          <w:p w:rsidR="00990843" w:rsidRPr="00351B46" w:rsidRDefault="00990843" w:rsidP="00351B46">
            <w:pPr>
              <w:jc w:val="center"/>
            </w:pPr>
          </w:p>
        </w:tc>
        <w:tc>
          <w:tcPr>
            <w:tcW w:w="2552" w:type="dxa"/>
          </w:tcPr>
          <w:p w:rsidR="00990843" w:rsidRPr="00351B46" w:rsidRDefault="00990843" w:rsidP="00351B46">
            <w:pPr>
              <w:jc w:val="center"/>
            </w:pPr>
            <w:r w:rsidRPr="00351B46">
              <w:t xml:space="preserve">Организация работы с руководителями летних оздоровительных организаций </w:t>
            </w:r>
          </w:p>
        </w:tc>
        <w:tc>
          <w:tcPr>
            <w:tcW w:w="2693" w:type="dxa"/>
          </w:tcPr>
          <w:p w:rsidR="00990843" w:rsidRPr="00351B46" w:rsidRDefault="00990843" w:rsidP="00351B46">
            <w:pPr>
              <w:jc w:val="center"/>
            </w:pPr>
            <w:r w:rsidRPr="00351B46">
              <w:t xml:space="preserve">Организация мероприятий с детьми, направленных на формирование безопасного поведения на дорогах, и в </w:t>
            </w:r>
            <w:proofErr w:type="gramStart"/>
            <w:r w:rsidRPr="00351B46">
              <w:t>транспорте</w:t>
            </w:r>
            <w:proofErr w:type="gramEnd"/>
            <w:r w:rsidRPr="00351B46">
              <w:t xml:space="preserve"> в том числе железной дороге и железнодорожном транспорте </w:t>
            </w:r>
          </w:p>
        </w:tc>
        <w:tc>
          <w:tcPr>
            <w:tcW w:w="2693" w:type="dxa"/>
          </w:tcPr>
          <w:p w:rsidR="00990843" w:rsidRPr="00351B46" w:rsidRDefault="00990843" w:rsidP="00351B46">
            <w:pPr>
              <w:jc w:val="center"/>
            </w:pPr>
            <w:r w:rsidRPr="00351B46">
              <w:t xml:space="preserve">Организация мероприятий с детьми, направленных на формирование навыков пожарной безопасности </w:t>
            </w:r>
          </w:p>
        </w:tc>
        <w:tc>
          <w:tcPr>
            <w:tcW w:w="2550" w:type="dxa"/>
          </w:tcPr>
          <w:p w:rsidR="00990843" w:rsidRPr="00351B46" w:rsidRDefault="00990843" w:rsidP="00351B46">
            <w:pPr>
              <w:jc w:val="center"/>
            </w:pPr>
            <w:r w:rsidRPr="00351B46">
              <w:t xml:space="preserve">Организация мероприятий с детьми, направленных на формирование навыков санитарно-эпидемиологической безопасности </w:t>
            </w:r>
          </w:p>
        </w:tc>
        <w:tc>
          <w:tcPr>
            <w:tcW w:w="2553" w:type="dxa"/>
          </w:tcPr>
          <w:p w:rsidR="00990843" w:rsidRPr="00351B46" w:rsidRDefault="00990843" w:rsidP="0056717D">
            <w:pPr>
              <w:jc w:val="center"/>
            </w:pPr>
            <w:r w:rsidRPr="00351B46">
              <w:t xml:space="preserve">Организация работы с родителями (законными представителями) обучающихся по вопросам безопасности детей в </w:t>
            </w:r>
            <w:r>
              <w:t>школе и быту</w:t>
            </w:r>
          </w:p>
        </w:tc>
      </w:tr>
      <w:tr w:rsidR="00990843" w:rsidRPr="00351B46" w:rsidTr="00990843">
        <w:tc>
          <w:tcPr>
            <w:tcW w:w="1951" w:type="dxa"/>
          </w:tcPr>
          <w:p w:rsidR="00990843" w:rsidRPr="00482126" w:rsidRDefault="00990843" w:rsidP="00351B46">
            <w:r w:rsidRPr="00482126">
              <w:t>Перечень, количество и тематика проведенных мероприятий</w:t>
            </w:r>
          </w:p>
        </w:tc>
        <w:tc>
          <w:tcPr>
            <w:tcW w:w="2552" w:type="dxa"/>
          </w:tcPr>
          <w:p w:rsidR="00990843" w:rsidRPr="00482126" w:rsidRDefault="00990843" w:rsidP="004E5650">
            <w:pPr>
              <w:jc w:val="both"/>
            </w:pPr>
            <w:r w:rsidRPr="00482126">
              <w:t>Инструктажи по ПБ, по противодействию терроризму, правил поведения в ЧС, ПДД (12). Беседы по вопросам санитарно-эпидемиологической безопасности, безопасности детей в школе и в быту (12). Практические занятия по отработке действий на случай возникновения пожара, чрезвычайной ситуации (12).</w:t>
            </w:r>
          </w:p>
        </w:tc>
        <w:tc>
          <w:tcPr>
            <w:tcW w:w="2693" w:type="dxa"/>
          </w:tcPr>
          <w:p w:rsidR="00990843" w:rsidRPr="00482126" w:rsidRDefault="00990843" w:rsidP="00CB017C">
            <w:pPr>
              <w:jc w:val="both"/>
            </w:pPr>
            <w:r w:rsidRPr="00482126">
              <w:t>Инструктажи по ПДД (12). Проведение тематических классных часов, бесед (12). Просмотр видеофильмов «Безопасное движение на дороге»</w:t>
            </w:r>
            <w:r>
              <w:t xml:space="preserve"> (4</w:t>
            </w:r>
            <w:r w:rsidRPr="00482126">
              <w:t>). Выставка рисунков «Дорожные знаки», конкурс рису</w:t>
            </w:r>
            <w:r>
              <w:t>нков по ПДД (8</w:t>
            </w:r>
            <w:r w:rsidRPr="00482126">
              <w:t>). Решение задач по ПДД (1). Ролевые игры «Дорога жизни»</w:t>
            </w:r>
            <w:r>
              <w:t xml:space="preserve"> (3</w:t>
            </w:r>
            <w:r w:rsidRPr="00482126">
              <w:t xml:space="preserve">). Конкурс «Знатоки дорожных правил» (2). Оформление уголков безопасности (12). Составление схем «Мой безопасный маршрут» (12). Открытый урок по отработке навыков безопасного поведения на дороге (1). </w:t>
            </w:r>
            <w:r>
              <w:t xml:space="preserve"> Экскурсии на железную дорогу (2).Раздача листовок «Внимание – дорога!» (2). </w:t>
            </w:r>
          </w:p>
        </w:tc>
        <w:tc>
          <w:tcPr>
            <w:tcW w:w="2693" w:type="dxa"/>
          </w:tcPr>
          <w:p w:rsidR="00990843" w:rsidRPr="00482126" w:rsidRDefault="00990843" w:rsidP="00CB017C">
            <w:pPr>
              <w:jc w:val="both"/>
            </w:pPr>
            <w:r>
              <w:t xml:space="preserve">Оформление стендов по противопожарной тематике (12). Уроки ОБЖ «Правила эвакуации при ЧС» (12). </w:t>
            </w:r>
            <w:r w:rsidRPr="00482126">
              <w:t>Практические занятия по отработке действий на случай возникновения пожара, чрезвычайной ситуации (12).</w:t>
            </w:r>
            <w:r>
              <w:t xml:space="preserve"> Экскурсия в пожарную часть (2). Проведение тематических уроков и бесед (12). Показ видеофильма о популяризации профессии пожарного (1). Показ и обсуждение фильма по пожарной безопасности (4). Конкурс рисунков и поделок по ПБ (2). </w:t>
            </w:r>
          </w:p>
        </w:tc>
        <w:tc>
          <w:tcPr>
            <w:tcW w:w="2550" w:type="dxa"/>
          </w:tcPr>
          <w:p w:rsidR="00990843" w:rsidRPr="00482126" w:rsidRDefault="00990843" w:rsidP="00CB017C">
            <w:pPr>
              <w:jc w:val="both"/>
            </w:pPr>
            <w:r>
              <w:t xml:space="preserve">Проведение бесед «Личная гигиена» (12). Проведение классных часов по вопросам профилактики ОРВИ и гриппа (9). Вакцинация учащихся против гриппа. Оформление стендов по профилактике гриппа (12). Выступление врача школы на классных часах (2). </w:t>
            </w:r>
          </w:p>
        </w:tc>
        <w:tc>
          <w:tcPr>
            <w:tcW w:w="2553" w:type="dxa"/>
          </w:tcPr>
          <w:p w:rsidR="00990843" w:rsidRPr="00482126" w:rsidRDefault="00990843" w:rsidP="00CB017C">
            <w:pPr>
              <w:jc w:val="both"/>
            </w:pPr>
            <w:r>
              <w:t>Беседа инспектора по делам несовершеннолетних с родителями на общешкольном собрании по вопросам правовой культуры</w:t>
            </w:r>
            <w:r w:rsidR="00F7185D">
              <w:t xml:space="preserve"> (2)</w:t>
            </w:r>
            <w:r>
              <w:t xml:space="preserve">. </w:t>
            </w:r>
            <w:r w:rsidR="00F7185D">
              <w:t xml:space="preserve">Оформление стендов «Будьте внимательны к своим детям!» (5). Родительские собрания, индивидуальные беседы с родителями (12). Проведение акции «Безопасность детей – забота родителей». (1). Родительские собрания с привлечением сотрудников ГИБДД (3). Родительское собрание с привлечением сотрудников </w:t>
            </w:r>
            <w:proofErr w:type="spellStart"/>
            <w:r w:rsidR="00F7185D">
              <w:t>Верхнепышминского</w:t>
            </w:r>
            <w:proofErr w:type="spellEnd"/>
            <w:r w:rsidR="00F7185D">
              <w:t xml:space="preserve"> ОВО.</w:t>
            </w:r>
          </w:p>
        </w:tc>
      </w:tr>
      <w:tr w:rsidR="00990843" w:rsidRPr="00351B46" w:rsidTr="00990843">
        <w:tc>
          <w:tcPr>
            <w:tcW w:w="1951" w:type="dxa"/>
          </w:tcPr>
          <w:p w:rsidR="00990843" w:rsidRPr="00482126" w:rsidRDefault="00990843" w:rsidP="00351B46">
            <w:r w:rsidRPr="00482126">
              <w:t>Охват</w:t>
            </w:r>
          </w:p>
        </w:tc>
        <w:tc>
          <w:tcPr>
            <w:tcW w:w="2552" w:type="dxa"/>
          </w:tcPr>
          <w:p w:rsidR="00990843" w:rsidRPr="00482126" w:rsidRDefault="00990843" w:rsidP="00CB017C">
            <w:pPr>
              <w:jc w:val="both"/>
            </w:pPr>
            <w:r w:rsidRPr="00482126">
              <w:t>405</w:t>
            </w:r>
          </w:p>
        </w:tc>
        <w:tc>
          <w:tcPr>
            <w:tcW w:w="2693" w:type="dxa"/>
          </w:tcPr>
          <w:p w:rsidR="00990843" w:rsidRPr="00482126" w:rsidRDefault="00990843" w:rsidP="00CB017C">
            <w:pPr>
              <w:jc w:val="both"/>
            </w:pPr>
            <w:r>
              <w:t>6234</w:t>
            </w:r>
          </w:p>
        </w:tc>
        <w:tc>
          <w:tcPr>
            <w:tcW w:w="2693" w:type="dxa"/>
          </w:tcPr>
          <w:p w:rsidR="00990843" w:rsidRPr="00482126" w:rsidRDefault="00990843" w:rsidP="00CB017C">
            <w:pPr>
              <w:jc w:val="both"/>
            </w:pPr>
            <w:r>
              <w:t>4198</w:t>
            </w:r>
          </w:p>
        </w:tc>
        <w:tc>
          <w:tcPr>
            <w:tcW w:w="2550" w:type="dxa"/>
          </w:tcPr>
          <w:p w:rsidR="00990843" w:rsidRPr="00482126" w:rsidRDefault="00990843" w:rsidP="00CB017C">
            <w:pPr>
              <w:jc w:val="both"/>
            </w:pPr>
            <w:r>
              <w:t>4614</w:t>
            </w:r>
          </w:p>
        </w:tc>
        <w:tc>
          <w:tcPr>
            <w:tcW w:w="2553" w:type="dxa"/>
          </w:tcPr>
          <w:p w:rsidR="00990843" w:rsidRPr="00482126" w:rsidRDefault="00990843" w:rsidP="00CB017C">
            <w:pPr>
              <w:jc w:val="both"/>
            </w:pPr>
            <w:r>
              <w:t>3945</w:t>
            </w:r>
          </w:p>
        </w:tc>
      </w:tr>
      <w:tr w:rsidR="00990843" w:rsidRPr="00351B46" w:rsidTr="00990843">
        <w:tc>
          <w:tcPr>
            <w:tcW w:w="1951" w:type="dxa"/>
          </w:tcPr>
          <w:p w:rsidR="00990843" w:rsidRPr="00482126" w:rsidRDefault="00990843" w:rsidP="00351B46">
            <w:r w:rsidRPr="00482126">
              <w:t>Привлечение специалистов других ведомств</w:t>
            </w:r>
          </w:p>
        </w:tc>
        <w:tc>
          <w:tcPr>
            <w:tcW w:w="2552" w:type="dxa"/>
          </w:tcPr>
          <w:p w:rsidR="00990843" w:rsidRPr="00482126" w:rsidRDefault="00990843" w:rsidP="00CB017C">
            <w:pPr>
              <w:jc w:val="both"/>
            </w:pPr>
            <w:r w:rsidRPr="00482126">
              <w:t>ГКПТУ – «ОПС № 2 Свердловской области» ПЧ 2 – 10 (1).</w:t>
            </w:r>
          </w:p>
        </w:tc>
        <w:tc>
          <w:tcPr>
            <w:tcW w:w="2693" w:type="dxa"/>
          </w:tcPr>
          <w:p w:rsidR="00990843" w:rsidRPr="00482126" w:rsidRDefault="00990843" w:rsidP="00CB017C">
            <w:pPr>
              <w:jc w:val="both"/>
            </w:pPr>
            <w:r w:rsidRPr="00990843">
              <w:t xml:space="preserve">Инспектор </w:t>
            </w:r>
            <w:r w:rsidRPr="00990843">
              <w:rPr>
                <w:color w:val="1D1D1D"/>
                <w:shd w:val="clear" w:color="auto" w:fill="F9FCFD"/>
              </w:rPr>
              <w:t>ГИБДД МО МВД России "</w:t>
            </w:r>
            <w:proofErr w:type="spellStart"/>
            <w:r w:rsidRPr="00990843">
              <w:rPr>
                <w:color w:val="1D1D1D"/>
                <w:shd w:val="clear" w:color="auto" w:fill="F9FCFD"/>
              </w:rPr>
              <w:t>Верхнепышминский</w:t>
            </w:r>
            <w:proofErr w:type="spellEnd"/>
            <w:r w:rsidRPr="00990843">
              <w:rPr>
                <w:color w:val="1D1D1D"/>
                <w:shd w:val="clear" w:color="auto" w:fill="F9FCFD"/>
              </w:rPr>
              <w:t xml:space="preserve">" </w:t>
            </w:r>
            <w:proofErr w:type="spellStart"/>
            <w:r w:rsidRPr="00990843">
              <w:rPr>
                <w:color w:val="1D1D1D"/>
                <w:shd w:val="clear" w:color="auto" w:fill="F9FCFD"/>
              </w:rPr>
              <w:t>Чубыкина</w:t>
            </w:r>
            <w:proofErr w:type="spellEnd"/>
            <w:r w:rsidRPr="00990843">
              <w:rPr>
                <w:color w:val="1D1D1D"/>
                <w:shd w:val="clear" w:color="auto" w:fill="F9FCFD"/>
              </w:rPr>
              <w:t xml:space="preserve"> Т.В., специалист </w:t>
            </w:r>
            <w:r w:rsidRPr="00990843">
              <w:rPr>
                <w:color w:val="1D1D1D"/>
                <w:shd w:val="clear" w:color="auto" w:fill="F9FCFD"/>
              </w:rPr>
              <w:lastRenderedPageBreak/>
              <w:t>РЖД Бессонова С.В., инспектор ПДН Гареева Э.Э., инспектор по делам несовершеннолетних Поляк А.Н</w:t>
            </w:r>
            <w:r>
              <w:rPr>
                <w:color w:val="1D1D1D"/>
                <w:shd w:val="clear" w:color="auto" w:fill="F9FCFD"/>
              </w:rPr>
              <w:t>.</w:t>
            </w:r>
          </w:p>
        </w:tc>
        <w:tc>
          <w:tcPr>
            <w:tcW w:w="2693" w:type="dxa"/>
          </w:tcPr>
          <w:p w:rsidR="00990843" w:rsidRPr="00482126" w:rsidRDefault="00990843" w:rsidP="00CB017C">
            <w:pPr>
              <w:jc w:val="both"/>
            </w:pPr>
            <w:r>
              <w:lastRenderedPageBreak/>
              <w:t>Специалисты Отдела надзорной деятельности ГО Верхняя Пышма и ГО Среднеуральск</w:t>
            </w:r>
          </w:p>
        </w:tc>
        <w:tc>
          <w:tcPr>
            <w:tcW w:w="2550" w:type="dxa"/>
          </w:tcPr>
          <w:p w:rsidR="00990843" w:rsidRPr="00482126" w:rsidRDefault="00990843" w:rsidP="00CB017C">
            <w:pPr>
              <w:jc w:val="both"/>
            </w:pPr>
            <w:r>
              <w:t>-</w:t>
            </w:r>
          </w:p>
        </w:tc>
        <w:tc>
          <w:tcPr>
            <w:tcW w:w="2553" w:type="dxa"/>
          </w:tcPr>
          <w:p w:rsidR="00990843" w:rsidRPr="00482126" w:rsidRDefault="00990843" w:rsidP="00CB017C">
            <w:pPr>
              <w:jc w:val="both"/>
            </w:pPr>
            <w:proofErr w:type="spellStart"/>
            <w:r>
              <w:t>Верхнепышминский</w:t>
            </w:r>
            <w:proofErr w:type="spellEnd"/>
            <w:r>
              <w:t xml:space="preserve"> ОВО – филиал ФГКУ УВО ГУ МВД России по Свердловской области - </w:t>
            </w:r>
            <w:r>
              <w:lastRenderedPageBreak/>
              <w:t xml:space="preserve">подполковник полиции Титаренко Э.Ю., </w:t>
            </w:r>
            <w:r w:rsidRPr="00482126">
              <w:rPr>
                <w:color w:val="1D1D1D"/>
                <w:shd w:val="clear" w:color="auto" w:fill="F9FCFD"/>
              </w:rPr>
              <w:t>ГИБДД МО МВД России "</w:t>
            </w:r>
            <w:proofErr w:type="spellStart"/>
            <w:r w:rsidRPr="00482126">
              <w:rPr>
                <w:color w:val="1D1D1D"/>
                <w:shd w:val="clear" w:color="auto" w:fill="F9FCFD"/>
              </w:rPr>
              <w:t>Верхнепышминский</w:t>
            </w:r>
            <w:proofErr w:type="spellEnd"/>
            <w:r w:rsidRPr="00482126">
              <w:rPr>
                <w:color w:val="1D1D1D"/>
                <w:shd w:val="clear" w:color="auto" w:fill="F9FCFD"/>
              </w:rPr>
              <w:t>"</w:t>
            </w:r>
            <w:r>
              <w:rPr>
                <w:color w:val="1D1D1D"/>
                <w:shd w:val="clear" w:color="auto" w:fill="F9FCFD"/>
              </w:rPr>
              <w:t xml:space="preserve"> </w:t>
            </w:r>
            <w:proofErr w:type="spellStart"/>
            <w:r>
              <w:rPr>
                <w:color w:val="1D1D1D"/>
                <w:shd w:val="clear" w:color="auto" w:fill="F9FCFD"/>
              </w:rPr>
              <w:t>Чубыкина</w:t>
            </w:r>
            <w:proofErr w:type="spellEnd"/>
            <w:r>
              <w:rPr>
                <w:color w:val="1D1D1D"/>
                <w:shd w:val="clear" w:color="auto" w:fill="F9FCFD"/>
              </w:rPr>
              <w:t xml:space="preserve"> Т.В., инспектор ПДН Гареева Э.Э.</w:t>
            </w:r>
          </w:p>
        </w:tc>
      </w:tr>
    </w:tbl>
    <w:p w:rsidR="007D4405" w:rsidRPr="002446B5" w:rsidRDefault="007D4405" w:rsidP="002446B5">
      <w:pPr>
        <w:rPr>
          <w:rFonts w:ascii="Times New Roman" w:hAnsi="Times New Roman" w:cs="Times New Roman"/>
          <w:b/>
          <w:sz w:val="24"/>
          <w:szCs w:val="28"/>
          <w:lang w:val="en-US"/>
        </w:rPr>
        <w:sectPr w:rsidR="007D4405" w:rsidRPr="002446B5" w:rsidSect="00351B4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77DE5" w:rsidRPr="002446B5" w:rsidRDefault="00B77DE5" w:rsidP="002446B5">
      <w:pPr>
        <w:ind w:right="28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7DE5" w:rsidRPr="002446B5" w:rsidSect="007D44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45"/>
    <w:rsid w:val="000123FE"/>
    <w:rsid w:val="000B7517"/>
    <w:rsid w:val="001E7D4C"/>
    <w:rsid w:val="002446B5"/>
    <w:rsid w:val="00351B46"/>
    <w:rsid w:val="003D1617"/>
    <w:rsid w:val="00482126"/>
    <w:rsid w:val="004E5650"/>
    <w:rsid w:val="0056717D"/>
    <w:rsid w:val="007D4405"/>
    <w:rsid w:val="00990843"/>
    <w:rsid w:val="00A42045"/>
    <w:rsid w:val="00B33757"/>
    <w:rsid w:val="00B77DE5"/>
    <w:rsid w:val="00CB017C"/>
    <w:rsid w:val="00CE2FEC"/>
    <w:rsid w:val="00F7185D"/>
    <w:rsid w:val="00F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B4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51B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5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5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B4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51B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5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5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peducation@mail.ru" TargetMode="External"/><Relationship Id="rId5" Type="http://schemas.openxmlformats.org/officeDocument/2006/relationships/hyperlink" Target="mailto:vpeducat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2015-12-14T09:40:00Z</cp:lastPrinted>
  <dcterms:created xsi:type="dcterms:W3CDTF">2015-10-05T05:19:00Z</dcterms:created>
  <dcterms:modified xsi:type="dcterms:W3CDTF">2016-02-17T04:14:00Z</dcterms:modified>
</cp:coreProperties>
</file>